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53AC392C"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D2A00">
        <w:rPr>
          <w:rFonts w:ascii="Verdana" w:hAnsi="Verdana" w:cstheme="minorHAnsi"/>
          <w:b/>
          <w:sz w:val="28"/>
          <w:szCs w:val="28"/>
          <w:u w:val="single"/>
        </w:rPr>
        <w:t>mazacího prostředku IRIX HP – SI 180</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1DE7415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„Mazací prostředek k ošetřování kluzných stoliček a závěrů výhybek IRIX HP – SI 180“,</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28027F">
        <w:rPr>
          <w:rFonts w:ascii="Verdana" w:hAnsi="Verdana" w:cstheme="minorHAnsi"/>
          <w:sz w:val="18"/>
          <w:szCs w:val="18"/>
        </w:rPr>
        <w:t>73476/2020-SŽ-GŘ-O8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6FA383F9" w14:textId="5FCF12DC"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je zabezpečení dodávek mazacích prostředků k ošetřování kluzných stoliček a závěrů výhybek – přípravku </w:t>
      </w:r>
      <w:r>
        <w:rPr>
          <w:rFonts w:ascii="Verdana" w:hAnsi="Verdana" w:cstheme="minorHAnsi"/>
          <w:sz w:val="18"/>
          <w:szCs w:val="18"/>
        </w:rPr>
        <w:t>IRIX HP – SI 180</w:t>
      </w:r>
      <w:r w:rsidRPr="0028027F">
        <w:rPr>
          <w:rFonts w:ascii="Verdana" w:hAnsi="Verdana" w:cstheme="minorHAnsi"/>
          <w:sz w:val="18"/>
          <w:szCs w:val="18"/>
        </w:rPr>
        <w:t xml:space="preserve"> (dále jen „Přípravek“). Technickou specifikací dodávek přípravků jsou Technické podmínky dodací (dále jen „TPD“), uzavřené mezi Kupujícím a Prodávajícím (případně výrobcem) </w:t>
      </w:r>
      <w:r w:rsidRPr="0028027F">
        <w:rPr>
          <w:rFonts w:ascii="Verdana" w:hAnsi="Verdana" w:cstheme="minorHAnsi"/>
          <w:sz w:val="18"/>
          <w:szCs w:val="18"/>
          <w:highlight w:val="yellow"/>
        </w:rPr>
        <w:t xml:space="preserve">pod </w:t>
      </w:r>
      <w:proofErr w:type="gramStart"/>
      <w:r w:rsidRPr="0028027F">
        <w:rPr>
          <w:rFonts w:ascii="Verdana" w:hAnsi="Verdana" w:cstheme="minorHAnsi"/>
          <w:sz w:val="18"/>
          <w:szCs w:val="18"/>
          <w:highlight w:val="yellow"/>
        </w:rPr>
        <w:t>č.j.</w:t>
      </w:r>
      <w:proofErr w:type="gramEnd"/>
      <w:r w:rsidRPr="0028027F">
        <w:rPr>
          <w:rFonts w:ascii="Verdana" w:hAnsi="Verdana" w:cstheme="minorHAnsi"/>
          <w:sz w:val="18"/>
          <w:szCs w:val="18"/>
          <w:highlight w:val="yellow"/>
        </w:rPr>
        <w:t xml:space="preserve"> …….(doplní Prodávající)</w:t>
      </w:r>
      <w:r w:rsidRPr="0028027F">
        <w:rPr>
          <w:rFonts w:ascii="Verdana" w:hAnsi="Verdana" w:cstheme="minorHAnsi"/>
          <w:sz w:val="18"/>
          <w:szCs w:val="18"/>
        </w:rPr>
        <w:t xml:space="preserve">, včetně jejich dodatků a změn v platném znění a technické listy k Přípravku,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64618186"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přípravek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ý přípravek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38518F30"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Kupujícímu musí být umožněno ověření kvality Přípravk</w:t>
      </w:r>
      <w:r w:rsidR="00897AB7">
        <w:rPr>
          <w:rFonts w:ascii="Verdana" w:hAnsi="Verdana" w:cstheme="minorHAnsi"/>
          <w:sz w:val="18"/>
          <w:szCs w:val="18"/>
        </w:rPr>
        <w:t>u</w:t>
      </w:r>
      <w:r w:rsidRPr="0028027F">
        <w:rPr>
          <w:rFonts w:ascii="Verdana" w:hAnsi="Verdana" w:cstheme="minorHAnsi"/>
          <w:sz w:val="18"/>
          <w:szCs w:val="18"/>
        </w:rPr>
        <w:t xml:space="preserve"> pověřeným útvarem dle příslušných TPD. Ke každé dodávce Přípravk</w:t>
      </w:r>
      <w:r w:rsidR="00897AB7">
        <w:rPr>
          <w:rFonts w:ascii="Verdana" w:hAnsi="Verdana" w:cstheme="minorHAnsi"/>
          <w:sz w:val="18"/>
          <w:szCs w:val="18"/>
        </w:rPr>
        <w:t>u</w:t>
      </w:r>
      <w:r w:rsidRPr="0028027F">
        <w:rPr>
          <w:rFonts w:ascii="Verdana" w:hAnsi="Verdana" w:cstheme="minorHAnsi"/>
          <w:sz w:val="18"/>
          <w:szCs w:val="18"/>
        </w:rPr>
        <w:t xml:space="preserve"> budou Prodávajícím zaslány Kupujícímu sjednané doklady </w:t>
      </w:r>
      <w:r w:rsidR="00535BD9">
        <w:rPr>
          <w:rFonts w:ascii="Verdana" w:hAnsi="Verdana" w:cstheme="minorHAnsi"/>
          <w:sz w:val="18"/>
          <w:szCs w:val="18"/>
        </w:rPr>
        <w:t xml:space="preserve">     </w:t>
      </w:r>
      <w:r w:rsidRPr="0028027F">
        <w:rPr>
          <w:rFonts w:ascii="Verdana" w:hAnsi="Verdana" w:cstheme="minorHAnsi"/>
          <w:sz w:val="18"/>
          <w:szCs w:val="18"/>
        </w:rPr>
        <w:t>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w:t>
      </w:r>
      <w:r w:rsidR="009601AA" w:rsidRPr="008B5521">
        <w:rPr>
          <w:rFonts w:ascii="Verdana" w:hAnsi="Verdana" w:cstheme="minorHAnsi"/>
          <w:sz w:val="18"/>
          <w:szCs w:val="18"/>
        </w:rPr>
        <w:lastRenderedPageBreak/>
        <w:t>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7DA9C5E7"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w:t>
      </w:r>
      <w:r w:rsidRPr="00897AB7">
        <w:rPr>
          <w:rFonts w:ascii="Verdana" w:hAnsi="Verdana" w:cstheme="minorHAnsi"/>
          <w:sz w:val="18"/>
          <w:szCs w:val="18"/>
        </w:rPr>
        <w:lastRenderedPageBreak/>
        <w:t xml:space="preserve">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391CE7AF"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 xml:space="preserve">12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2D3C41">
        <w:rPr>
          <w:rFonts w:ascii="Verdana" w:hAnsi="Verdana" w:cstheme="minorHAnsi"/>
          <w:sz w:val="18"/>
          <w:szCs w:val="18"/>
        </w:rPr>
        <w:t>825.000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2D3C41">
        <w:rPr>
          <w:rFonts w:ascii="Verdana" w:hAnsi="Verdana" w:cstheme="minorHAnsi"/>
          <w:sz w:val="18"/>
          <w:szCs w:val="18"/>
        </w:rPr>
        <w:t>830.000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966EAAA" w:rsidR="002D3C41" w:rsidRP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organizační složky Kupujícího uvedené v Příloze č. </w:t>
      </w:r>
      <w:r>
        <w:rPr>
          <w:rFonts w:ascii="Verdana" w:hAnsi="Verdana" w:cstheme="minorHAnsi"/>
          <w:sz w:val="18"/>
          <w:szCs w:val="18"/>
        </w:rPr>
        <w:t>4</w:t>
      </w:r>
      <w:r w:rsidRPr="002D3C41">
        <w:rPr>
          <w:rFonts w:ascii="Verdana" w:hAnsi="Verdana" w:cstheme="minorHAnsi"/>
          <w:sz w:val="18"/>
          <w:szCs w:val="18"/>
        </w:rPr>
        <w:t xml:space="preserve"> této Rámcové dohody.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Pr="002D3C41">
        <w:rPr>
          <w:rFonts w:ascii="Verdana" w:hAnsi="Verdana" w:cstheme="minorHAnsi"/>
          <w:sz w:val="18"/>
          <w:szCs w:val="18"/>
        </w:rPr>
        <w:t xml:space="preserve"> této rámcové dohody.</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43E7948E"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5835DF1C"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lastRenderedPageBreak/>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632637C1"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Záruční doba za kvalitu Přípravků,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Kvalita dodávaného zboží může být Kupujícím namátkově ověřována u notifikovaných zkušeben, výsledky těchto zkoušek mohou být podkladem pro případnou reklamaci. V případě </w:t>
      </w:r>
      <w:r w:rsidRPr="00B96AC1">
        <w:rPr>
          <w:rFonts w:ascii="Verdana" w:eastAsiaTheme="majorEastAsia" w:hAnsi="Verdana" w:cstheme="minorHAnsi"/>
          <w:bCs/>
          <w:sz w:val="18"/>
          <w:szCs w:val="18"/>
        </w:rPr>
        <w:lastRenderedPageBreak/>
        <w:t>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77777777"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6A6E168F" w14:textId="707B9BC5" w:rsidR="00B96AC1" w:rsidRP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w:t>
      </w:r>
      <w:proofErr w:type="gramStart"/>
      <w:r w:rsidRPr="00B96AC1">
        <w:rPr>
          <w:rFonts w:ascii="Verdana" w:eastAsiaTheme="majorEastAsia" w:hAnsi="Verdana" w:cstheme="minorHAnsi"/>
          <w:bCs/>
          <w:sz w:val="18"/>
          <w:szCs w:val="18"/>
        </w:rPr>
        <w:t xml:space="preserve">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.7 této</w:t>
      </w:r>
      <w:proofErr w:type="gramEnd"/>
      <w:r w:rsidRPr="00B96AC1">
        <w:rPr>
          <w:rFonts w:ascii="Verdana" w:eastAsiaTheme="majorEastAsia" w:hAnsi="Verdana" w:cstheme="minorHAnsi"/>
          <w:bCs/>
          <w:sz w:val="18"/>
          <w:szCs w:val="18"/>
        </w:rPr>
        <w:t xml:space="preserve">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881560" w:rsidRPr="008B5521">
        <w:rPr>
          <w:rFonts w:ascii="Verdana" w:hAnsi="Verdana" w:cstheme="minorHAnsi"/>
          <w:sz w:val="18"/>
          <w:szCs w:val="18"/>
        </w:rPr>
        <w:lastRenderedPageBreak/>
        <w:t xml:space="preserve">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1D79429" w14:textId="36963612" w:rsidR="0017309D" w:rsidRPr="008B5521" w:rsidRDefault="0017309D" w:rsidP="008F669C">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t>Kupující rovněž požaduje zpětný odběr prázdných obalů k likvidaci. Prodávající bude prázdné obaly odebírat dvakrát ročně na výzvu (e-mailem, telefonem, faxem) příslušné organizační jednotky – Oblastn</w:t>
      </w:r>
      <w:r w:rsidR="007A3883">
        <w:rPr>
          <w:rFonts w:ascii="Verdana" w:hAnsi="Verdana" w:cstheme="minorHAnsi"/>
          <w:sz w:val="18"/>
          <w:szCs w:val="18"/>
        </w:rPr>
        <w:t>ího ředitelství (OŘ) Kupujícího.</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 xml:space="preserve">Tato Rámcová dohoda je vyhotovena v elektronické podobě, přičemž obě Smluvní strany obdrží její elektronický originál opatřený elektronickými podpisy. V případě, že tato Rámcová dohoda </w:t>
      </w:r>
      <w:r w:rsidRPr="00703407">
        <w:rPr>
          <w:rFonts w:ascii="Verdana" w:hAnsi="Verdana"/>
          <w:sz w:val="18"/>
          <w:szCs w:val="18"/>
        </w:rPr>
        <w:lastRenderedPageBreak/>
        <w:t>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bookmarkStart w:id="0" w:name="_GoBack"/>
      <w:bookmarkEnd w:id="0"/>
    </w:p>
    <w:p w14:paraId="739A7739" w14:textId="302C76B6"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Technické listy k nabízenému pří</w:t>
      </w:r>
      <w:r w:rsidR="00B92EB6">
        <w:rPr>
          <w:rFonts w:ascii="Verdana" w:hAnsi="Verdana" w:cstheme="minorHAnsi"/>
          <w:sz w:val="18"/>
          <w:szCs w:val="18"/>
        </w:rPr>
        <w:t>p</w:t>
      </w:r>
      <w:r>
        <w:rPr>
          <w:rFonts w:ascii="Verdana" w:hAnsi="Verdana" w:cstheme="minorHAnsi"/>
          <w:sz w:val="18"/>
          <w:szCs w:val="18"/>
        </w:rPr>
        <w:t>ravku (poskytne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2CC755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C0B51">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C0B51">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001F6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6C0B51">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6C0B51">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EE44175F-8CC1-4E6E-96C5-9CB94F81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3372</Words>
  <Characters>19897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7</cp:revision>
  <cp:lastPrinted>2018-02-12T13:27:00Z</cp:lastPrinted>
  <dcterms:created xsi:type="dcterms:W3CDTF">2020-10-26T19:19:00Z</dcterms:created>
  <dcterms:modified xsi:type="dcterms:W3CDTF">2020-10-29T08:23:00Z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